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44" w:rsidRPr="00BC27B3" w:rsidRDefault="008B4144" w:rsidP="00BC27B3">
      <w:pPr>
        <w:bidi/>
        <w:jc w:val="center"/>
        <w:rPr>
          <w:rFonts w:asciiTheme="majorBidi" w:hAnsiTheme="majorBidi" w:cstheme="majorBidi"/>
          <w:sz w:val="32"/>
          <w:szCs w:val="32"/>
          <w:rtl/>
        </w:rPr>
      </w:pPr>
      <w:bookmarkStart w:id="0" w:name="_GoBack"/>
      <w:bookmarkEnd w:id="0"/>
      <w:r w:rsidRPr="00BC27B3">
        <w:rPr>
          <w:rFonts w:asciiTheme="majorBidi" w:hAnsiTheme="majorBidi" w:cstheme="majorBidi"/>
          <w:sz w:val="32"/>
          <w:szCs w:val="32"/>
          <w:rtl/>
        </w:rPr>
        <w:t>بسم الله الرحمن الرحيم</w:t>
      </w:r>
    </w:p>
    <w:p w:rsidR="008B4144" w:rsidRDefault="008B4144" w:rsidP="00BC27B3">
      <w:pPr>
        <w:bidi/>
        <w:jc w:val="center"/>
        <w:rPr>
          <w:rFonts w:asciiTheme="majorBidi" w:hAnsiTheme="majorBidi" w:cstheme="majorBidi"/>
          <w:sz w:val="32"/>
          <w:szCs w:val="32"/>
        </w:rPr>
      </w:pPr>
      <w:r w:rsidRPr="00BC27B3">
        <w:rPr>
          <w:rFonts w:asciiTheme="majorBidi" w:hAnsiTheme="majorBidi" w:cstheme="majorBidi"/>
          <w:sz w:val="32"/>
          <w:szCs w:val="32"/>
          <w:rtl/>
        </w:rPr>
        <w:t>نظام صندوق التنمية الصناعية السعودي</w:t>
      </w:r>
    </w:p>
    <w:p w:rsidR="00246447" w:rsidRDefault="00246447" w:rsidP="00246447">
      <w:pPr>
        <w:bidi/>
        <w:jc w:val="center"/>
        <w:rPr>
          <w:rFonts w:asciiTheme="majorBidi" w:hAnsiTheme="majorBidi" w:cstheme="majorBidi"/>
          <w:sz w:val="32"/>
          <w:szCs w:val="32"/>
        </w:rPr>
      </w:pPr>
    </w:p>
    <w:p w:rsidR="008B4144"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المادة الأولى: إنشاء الصندوق واسمه ومركزه</w:t>
      </w:r>
    </w:p>
    <w:p w:rsidR="008B4144"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 xml:space="preserve"> يؤسس بمقتضى هذا النظام صندوق يسمى: ( صندوق التنمية الصناعية السعودي)٬ وتكون له الشخصية الاعتبارية٬ ويمثله رئيس مجلس إدارته٬ ويكون مركزه الرئيسي في مدينة الرياض٬ وللصندوق في سبيل مزاولة نشاطه أن ينشئ فروعا أو يعين وكلاء في مدن أخرى. ويرتبط الصندوق إداري</w:t>
      </w:r>
      <w:r w:rsidR="00622870">
        <w:rPr>
          <w:rFonts w:asciiTheme="majorBidi" w:hAnsiTheme="majorBidi" w:cstheme="majorBidi" w:hint="cs"/>
          <w:sz w:val="32"/>
          <w:szCs w:val="32"/>
          <w:rtl/>
        </w:rPr>
        <w:t>ِّ</w:t>
      </w:r>
      <w:r w:rsidRPr="00BC27B3">
        <w:rPr>
          <w:rFonts w:asciiTheme="majorBidi" w:hAnsiTheme="majorBidi" w:cstheme="majorBidi"/>
          <w:sz w:val="32"/>
          <w:szCs w:val="32"/>
          <w:rtl/>
        </w:rPr>
        <w:t>ا بوزير الطاقة والصناعة والثروة المعدنية.</w:t>
      </w:r>
    </w:p>
    <w:p w:rsidR="008B4144"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Pr>
        <w:t xml:space="preserve"> </w:t>
      </w:r>
    </w:p>
    <w:p w:rsidR="008B4144"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 xml:space="preserve">المادة الثانية: أغراض الصندوق </w:t>
      </w:r>
    </w:p>
    <w:p w:rsidR="008B4144" w:rsidRPr="00BC27B3" w:rsidRDefault="008B4144" w:rsidP="008B4144">
      <w:pPr>
        <w:bidi/>
        <w:rPr>
          <w:rFonts w:asciiTheme="majorBidi" w:hAnsiTheme="majorBidi" w:cstheme="majorBidi"/>
          <w:sz w:val="32"/>
          <w:szCs w:val="32"/>
          <w:rtl/>
          <w:lang w:bidi="fa-IR"/>
        </w:rPr>
      </w:pPr>
      <w:r w:rsidRPr="00BC27B3">
        <w:rPr>
          <w:rFonts w:asciiTheme="majorBidi" w:hAnsiTheme="majorBidi" w:cstheme="majorBidi"/>
          <w:sz w:val="32"/>
          <w:szCs w:val="32"/>
          <w:rtl/>
        </w:rPr>
        <w:t>يهدف الصندوق إلى دعم التنمية الصناعية في القطاع الأهلي لاقتصاد المملكة عن طريق القيام بما يلي</w:t>
      </w:r>
      <w:r w:rsidRPr="00BC27B3">
        <w:rPr>
          <w:rFonts w:asciiTheme="majorBidi" w:hAnsiTheme="majorBidi" w:cstheme="majorBidi"/>
          <w:sz w:val="32"/>
          <w:szCs w:val="32"/>
        </w:rPr>
        <w:t xml:space="preserve">: </w:t>
      </w:r>
    </w:p>
    <w:p w:rsidR="008B4144" w:rsidRPr="00BC27B3" w:rsidRDefault="008B4144" w:rsidP="008B4144">
      <w:pPr>
        <w:pStyle w:val="ListParagraph"/>
        <w:numPr>
          <w:ilvl w:val="0"/>
          <w:numId w:val="1"/>
        </w:numPr>
        <w:bidi/>
        <w:rPr>
          <w:rFonts w:asciiTheme="majorBidi" w:hAnsiTheme="majorBidi" w:cstheme="majorBidi"/>
          <w:sz w:val="32"/>
          <w:szCs w:val="32"/>
        </w:rPr>
      </w:pPr>
      <w:r w:rsidRPr="00BC27B3">
        <w:rPr>
          <w:rFonts w:asciiTheme="majorBidi" w:hAnsiTheme="majorBidi" w:cstheme="majorBidi"/>
          <w:sz w:val="32"/>
          <w:szCs w:val="32"/>
          <w:rtl/>
        </w:rPr>
        <w:t>تقديم قروض متوسطة أو طويلة الأجل بدون فوائد للمنشآت الصناعية الجديدة التي تؤسس في المملكة</w:t>
      </w:r>
      <w:r w:rsidR="00622870">
        <w:rPr>
          <w:rFonts w:asciiTheme="majorBidi" w:hAnsiTheme="majorBidi" w:cstheme="majorBidi" w:hint="cs"/>
          <w:sz w:val="32"/>
          <w:szCs w:val="32"/>
          <w:rtl/>
        </w:rPr>
        <w:t>.</w:t>
      </w:r>
    </w:p>
    <w:p w:rsidR="008B4144" w:rsidRPr="00BC27B3" w:rsidRDefault="008B4144" w:rsidP="008B4144">
      <w:pPr>
        <w:pStyle w:val="ListParagraph"/>
        <w:numPr>
          <w:ilvl w:val="0"/>
          <w:numId w:val="1"/>
        </w:numPr>
        <w:bidi/>
        <w:rPr>
          <w:rFonts w:asciiTheme="majorBidi" w:hAnsiTheme="majorBidi" w:cstheme="majorBidi"/>
          <w:sz w:val="32"/>
          <w:szCs w:val="32"/>
        </w:rPr>
      </w:pPr>
      <w:r w:rsidRPr="00BC27B3">
        <w:rPr>
          <w:rFonts w:asciiTheme="majorBidi" w:hAnsiTheme="majorBidi" w:cstheme="majorBidi"/>
          <w:sz w:val="32"/>
          <w:szCs w:val="32"/>
          <w:rtl/>
        </w:rPr>
        <w:t>تقديم قروض متوسطة أو طويلة الأجل بدون فوائد للمنشآت الصناعية الخاصة القائمة لغرض توسعة نشاطها أو استبدال معداتها وإدخال الأساليب العصرية عليها</w:t>
      </w:r>
      <w:r w:rsidRPr="00BC27B3">
        <w:rPr>
          <w:rFonts w:asciiTheme="majorBidi" w:hAnsiTheme="majorBidi" w:cstheme="majorBidi"/>
          <w:sz w:val="32"/>
          <w:szCs w:val="32"/>
        </w:rPr>
        <w:t xml:space="preserve">. </w:t>
      </w:r>
    </w:p>
    <w:p w:rsidR="008B4144" w:rsidRPr="00BC27B3" w:rsidRDefault="008B4144" w:rsidP="008B4144">
      <w:pPr>
        <w:pStyle w:val="ListParagraph"/>
        <w:numPr>
          <w:ilvl w:val="0"/>
          <w:numId w:val="1"/>
        </w:numPr>
        <w:bidi/>
        <w:rPr>
          <w:rFonts w:asciiTheme="majorBidi" w:hAnsiTheme="majorBidi" w:cstheme="majorBidi"/>
          <w:sz w:val="32"/>
          <w:szCs w:val="32"/>
          <w:rtl/>
        </w:rPr>
      </w:pPr>
      <w:r w:rsidRPr="00BC27B3">
        <w:rPr>
          <w:rFonts w:asciiTheme="majorBidi" w:hAnsiTheme="majorBidi" w:cstheme="majorBidi"/>
          <w:sz w:val="32"/>
          <w:szCs w:val="32"/>
          <w:rtl/>
        </w:rPr>
        <w:t xml:space="preserve">تقديم المشورة الاقتصادية أو الفنية أو الإدارية للمنشآت الصناعية في المملكة عندما يكون ذلك ضروريا وممكنا. </w:t>
      </w:r>
    </w:p>
    <w:p w:rsidR="008B4144" w:rsidRPr="00BC27B3" w:rsidRDefault="008B4144" w:rsidP="008B4144">
      <w:pPr>
        <w:bidi/>
        <w:rPr>
          <w:rFonts w:asciiTheme="majorBidi" w:hAnsiTheme="majorBidi" w:cstheme="majorBidi"/>
          <w:sz w:val="32"/>
          <w:szCs w:val="32"/>
          <w:rtl/>
        </w:rPr>
      </w:pPr>
    </w:p>
    <w:p w:rsidR="008B4144"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 xml:space="preserve">المادة الثالثة: صلاحيات الصندوق </w:t>
      </w:r>
    </w:p>
    <w:p w:rsidR="008B4144"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تكون للصندوق جميع الصلاحيات اللازمة لتحقيق أغراضه المنصوص عليها في هذا النظام؛ ومن ذلك على سبيل المثال٬ في حدود مقتضيات نشاطه أن يُبرم عقود القروض وغيرها من العقود٬ ويقبل الرهون وغيرها من ضمانات الوفاء بالقروض التي يقدمها٬ وأن يمتلك ويرهن ويبيع الأموال بجميع أنواعها منقولة كانت أو عقارية٬ وأن يقترض أو يرتب في ذمته غير ذلك من الالتزامات</w:t>
      </w:r>
      <w:r w:rsidRPr="00BC27B3">
        <w:rPr>
          <w:rFonts w:asciiTheme="majorBidi" w:hAnsiTheme="majorBidi" w:cstheme="majorBidi"/>
          <w:sz w:val="32"/>
          <w:szCs w:val="32"/>
        </w:rPr>
        <w:t xml:space="preserve">. </w:t>
      </w:r>
    </w:p>
    <w:p w:rsidR="008B4144" w:rsidRPr="00BC27B3" w:rsidRDefault="008B4144" w:rsidP="008B4144">
      <w:pPr>
        <w:bidi/>
        <w:rPr>
          <w:rFonts w:asciiTheme="majorBidi" w:hAnsiTheme="majorBidi" w:cstheme="majorBidi"/>
          <w:sz w:val="32"/>
          <w:szCs w:val="32"/>
          <w:rtl/>
        </w:rPr>
      </w:pPr>
    </w:p>
    <w:p w:rsidR="008B4144" w:rsidRPr="00BC27B3" w:rsidRDefault="008B4144" w:rsidP="005D5600">
      <w:pPr>
        <w:bidi/>
        <w:rPr>
          <w:rFonts w:asciiTheme="majorBidi" w:hAnsiTheme="majorBidi" w:cstheme="majorBidi"/>
          <w:sz w:val="32"/>
          <w:szCs w:val="32"/>
          <w:rtl/>
        </w:rPr>
      </w:pPr>
      <w:r w:rsidRPr="00BC27B3">
        <w:rPr>
          <w:rFonts w:asciiTheme="majorBidi" w:hAnsiTheme="majorBidi" w:cstheme="majorBidi"/>
          <w:sz w:val="32"/>
          <w:szCs w:val="32"/>
          <w:rtl/>
        </w:rPr>
        <w:t>المادة الرابعة: سياسة الاستثمار والقروض</w:t>
      </w:r>
    </w:p>
    <w:p w:rsidR="00D96428" w:rsidRPr="00BC27B3" w:rsidRDefault="008B4144"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Pr>
        <w:softHyphen/>
      </w:r>
      <w:r w:rsidRPr="00BC27B3">
        <w:rPr>
          <w:rFonts w:asciiTheme="majorBidi" w:hAnsiTheme="majorBidi" w:cstheme="majorBidi"/>
          <w:sz w:val="32"/>
          <w:szCs w:val="32"/>
          <w:rtl/>
        </w:rPr>
        <w:t xml:space="preserve">تُشكل السياسة الصناعية للحكومة القواعد العريضة لنشاط الصندوق في دعم وتشجيع الصناعة في المملكة٬ وعلى الصندوق أن يتعاون مع الأجهزة والمؤسسات الحكومية المختصة في </w:t>
      </w:r>
      <w:r w:rsidR="00D96428" w:rsidRPr="00BC27B3">
        <w:rPr>
          <w:rFonts w:asciiTheme="majorBidi" w:hAnsiTheme="majorBidi" w:cstheme="majorBidi"/>
          <w:sz w:val="32"/>
          <w:szCs w:val="32"/>
          <w:rtl/>
        </w:rPr>
        <w:t>سبيل تحقيق ذلك. ويُنسق بين نشا</w:t>
      </w:r>
      <w:r w:rsidRPr="00BC27B3">
        <w:rPr>
          <w:rFonts w:asciiTheme="majorBidi" w:hAnsiTheme="majorBidi" w:cstheme="majorBidi"/>
          <w:sz w:val="32"/>
          <w:szCs w:val="32"/>
          <w:rtl/>
        </w:rPr>
        <w:t>طه ونشاطها</w:t>
      </w:r>
      <w:r w:rsidRPr="00BC27B3">
        <w:rPr>
          <w:rFonts w:asciiTheme="majorBidi" w:hAnsiTheme="majorBidi" w:cstheme="majorBidi"/>
          <w:sz w:val="32"/>
          <w:szCs w:val="32"/>
        </w:rPr>
        <w:t xml:space="preserve">. </w:t>
      </w:r>
    </w:p>
    <w:p w:rsidR="00D96428" w:rsidRPr="00BC27B3" w:rsidRDefault="00D96428" w:rsidP="005D5600">
      <w:pPr>
        <w:pStyle w:val="ListParagraph"/>
        <w:tabs>
          <w:tab w:val="right" w:pos="900"/>
        </w:tabs>
        <w:bidi/>
        <w:spacing w:after="0" w:line="240" w:lineRule="auto"/>
        <w:ind w:left="547"/>
        <w:rPr>
          <w:rFonts w:asciiTheme="majorBidi" w:hAnsiTheme="majorBidi" w:cstheme="majorBidi"/>
          <w:sz w:val="20"/>
          <w:szCs w:val="20"/>
        </w:rPr>
      </w:pPr>
    </w:p>
    <w:p w:rsidR="00D96428" w:rsidRPr="00BC27B3" w:rsidRDefault="008B4144"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tl/>
        </w:rPr>
        <w:t>على الصندوق إجراء تقييم متكامل للجدوى الاقتِصادية لل</w:t>
      </w:r>
      <w:r w:rsidR="00D96428" w:rsidRPr="00BC27B3">
        <w:rPr>
          <w:rFonts w:asciiTheme="majorBidi" w:hAnsiTheme="majorBidi" w:cstheme="majorBidi"/>
          <w:sz w:val="32"/>
          <w:szCs w:val="32"/>
          <w:rtl/>
        </w:rPr>
        <w:t>مشروع الذي يُطلب تمويله٬ وأن يأ</w:t>
      </w:r>
      <w:r w:rsidRPr="00BC27B3">
        <w:rPr>
          <w:rFonts w:asciiTheme="majorBidi" w:hAnsiTheme="majorBidi" w:cstheme="majorBidi"/>
          <w:sz w:val="32"/>
          <w:szCs w:val="32"/>
          <w:rtl/>
        </w:rPr>
        <w:t>ُخذ في الاعتبار سلامة إدارته وذلك للتحقق من جدوى المشروع الصناعي من النواحي الاقتصادية والمالية والفنية</w:t>
      </w:r>
      <w:r w:rsidRPr="00BC27B3">
        <w:rPr>
          <w:rFonts w:asciiTheme="majorBidi" w:hAnsiTheme="majorBidi" w:cstheme="majorBidi"/>
          <w:sz w:val="32"/>
          <w:szCs w:val="32"/>
        </w:rPr>
        <w:t xml:space="preserve">. </w:t>
      </w:r>
    </w:p>
    <w:p w:rsidR="00D96428" w:rsidRPr="00BC27B3" w:rsidRDefault="00D96428" w:rsidP="005D5600">
      <w:pPr>
        <w:pStyle w:val="ListParagraph"/>
        <w:bidi/>
        <w:rPr>
          <w:rFonts w:asciiTheme="majorBidi" w:hAnsiTheme="majorBidi" w:cstheme="majorBidi"/>
          <w:sz w:val="20"/>
          <w:szCs w:val="20"/>
          <w:rtl/>
        </w:rPr>
      </w:pPr>
    </w:p>
    <w:p w:rsidR="00D96428" w:rsidRPr="00BC27B3" w:rsidRDefault="00D96428"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Pr>
        <w:softHyphen/>
      </w:r>
      <w:r w:rsidRPr="00BC27B3">
        <w:rPr>
          <w:rFonts w:asciiTheme="majorBidi" w:hAnsiTheme="majorBidi" w:cstheme="majorBidi"/>
          <w:sz w:val="32"/>
          <w:szCs w:val="32"/>
          <w:rtl/>
        </w:rPr>
        <w:t>على الصندو</w:t>
      </w:r>
      <w:r w:rsidR="00622870">
        <w:rPr>
          <w:rFonts w:asciiTheme="majorBidi" w:hAnsiTheme="majorBidi" w:cstheme="majorBidi"/>
          <w:sz w:val="32"/>
          <w:szCs w:val="32"/>
          <w:rtl/>
        </w:rPr>
        <w:t xml:space="preserve">ق عند فحص المشروعات التي يُطلب </w:t>
      </w:r>
      <w:r w:rsidRPr="00BC27B3">
        <w:rPr>
          <w:rFonts w:asciiTheme="majorBidi" w:hAnsiTheme="majorBidi" w:cstheme="majorBidi"/>
          <w:sz w:val="32"/>
          <w:szCs w:val="32"/>
          <w:rtl/>
        </w:rPr>
        <w:t>منه تمويلها أن ينظر فيما إذا كان التمويل المطلوب للمشروع بكامله قد تم بصورة معقولة٬ وما إذا كان حجم مساعدة الصندوق يمثل نسبة معقولة من مجموع حاجة المشروع للتمويل.</w:t>
      </w:r>
    </w:p>
    <w:p w:rsidR="00D96428" w:rsidRPr="00BC27B3" w:rsidRDefault="00D96428" w:rsidP="005D5600">
      <w:pPr>
        <w:pStyle w:val="ListParagraph"/>
        <w:bidi/>
        <w:rPr>
          <w:rFonts w:asciiTheme="majorBidi" w:hAnsiTheme="majorBidi" w:cstheme="majorBidi"/>
          <w:sz w:val="20"/>
          <w:szCs w:val="20"/>
          <w:rtl/>
        </w:rPr>
      </w:pPr>
    </w:p>
    <w:p w:rsidR="00D96428" w:rsidRPr="00BC27B3" w:rsidRDefault="00D96428"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tl/>
        </w:rPr>
        <w:t>يجب على الصندوق أن يحصل على ضمانات مالية كافية من أصحاب المشاريع الصناعية التي يمولُها تتناسب وحجم التمويل الذي يقدمه الصندوق</w:t>
      </w:r>
      <w:r w:rsidR="005D5600" w:rsidRPr="00BC27B3">
        <w:rPr>
          <w:rFonts w:asciiTheme="majorBidi" w:hAnsiTheme="majorBidi" w:cstheme="majorBidi"/>
          <w:sz w:val="32"/>
          <w:szCs w:val="32"/>
          <w:rtl/>
        </w:rPr>
        <w:t>.</w:t>
      </w:r>
    </w:p>
    <w:p w:rsidR="00D96428" w:rsidRPr="00BC27B3" w:rsidRDefault="00D96428" w:rsidP="005D5600">
      <w:pPr>
        <w:pStyle w:val="ListParagraph"/>
        <w:bidi/>
        <w:rPr>
          <w:rFonts w:asciiTheme="majorBidi" w:hAnsiTheme="majorBidi" w:cstheme="majorBidi"/>
          <w:sz w:val="20"/>
          <w:szCs w:val="20"/>
          <w:rtl/>
        </w:rPr>
      </w:pPr>
    </w:p>
    <w:p w:rsidR="00D96428" w:rsidRPr="00BC27B3" w:rsidRDefault="00D96428"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tl/>
        </w:rPr>
        <w:t>يجب على الصندوق مراقبة تنفيذ المشروعات الصناعية التي يمولها للتأكد من أنها تسير سيرا</w:t>
      </w:r>
      <w:r w:rsidR="005D5600" w:rsidRPr="00BC27B3">
        <w:rPr>
          <w:rFonts w:asciiTheme="majorBidi" w:hAnsiTheme="majorBidi" w:cstheme="majorBidi"/>
          <w:sz w:val="32"/>
          <w:szCs w:val="32"/>
          <w:rtl/>
        </w:rPr>
        <w:t>ً</w:t>
      </w:r>
      <w:r w:rsidRPr="00BC27B3">
        <w:rPr>
          <w:rFonts w:asciiTheme="majorBidi" w:hAnsiTheme="majorBidi" w:cstheme="majorBidi"/>
          <w:sz w:val="32"/>
          <w:szCs w:val="32"/>
          <w:rtl/>
        </w:rPr>
        <w:t xml:space="preserve"> منتظما حسب الخطة المحددة لها٬ ويقدم مشورته للمنشأة الصناعية فيما يتعلق بالمشاكل والصعوبات التي تعترض هذه المشروعات٬ وتتم هذه الرقابة عن طريق الحصول على تقارير عن تلك المشروعات والقيام بزيارات تفتيشية يقوم بها المختصون في الصندوق.</w:t>
      </w:r>
    </w:p>
    <w:p w:rsidR="00D96428" w:rsidRPr="00BC27B3" w:rsidRDefault="00D96428" w:rsidP="005D5600">
      <w:pPr>
        <w:pStyle w:val="ListParagraph"/>
        <w:bidi/>
        <w:rPr>
          <w:rFonts w:asciiTheme="majorBidi" w:hAnsiTheme="majorBidi" w:cstheme="majorBidi"/>
          <w:sz w:val="20"/>
          <w:szCs w:val="20"/>
          <w:rtl/>
        </w:rPr>
      </w:pPr>
    </w:p>
    <w:p w:rsidR="00D96428" w:rsidRPr="00BC27B3" w:rsidRDefault="005D5600"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tl/>
        </w:rPr>
        <w:t>يكون قرض الصندوق بما لا يزيد على (٥٠%) من التمويل المطلوب للمشروع أو تطويره، وللصندوق رفع هذه النسبة إلى (٧٥%) في المناطق أو المدن الأقل نمواً</w:t>
      </w:r>
      <w:r w:rsidR="00D96428" w:rsidRPr="00BC27B3">
        <w:rPr>
          <w:rFonts w:asciiTheme="majorBidi" w:hAnsiTheme="majorBidi" w:cstheme="majorBidi"/>
          <w:sz w:val="32"/>
          <w:szCs w:val="32"/>
          <w:rtl/>
        </w:rPr>
        <w:t>.</w:t>
      </w:r>
    </w:p>
    <w:p w:rsidR="00D96428" w:rsidRPr="00BC27B3" w:rsidRDefault="00D96428" w:rsidP="005D5600">
      <w:pPr>
        <w:bidi/>
        <w:rPr>
          <w:rFonts w:asciiTheme="majorBidi" w:hAnsiTheme="majorBidi" w:cstheme="majorBidi"/>
          <w:sz w:val="20"/>
          <w:szCs w:val="20"/>
          <w:rtl/>
        </w:rPr>
      </w:pPr>
    </w:p>
    <w:p w:rsidR="00D96428" w:rsidRPr="00BC27B3" w:rsidRDefault="00D96428"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Pr>
        <w:softHyphen/>
      </w:r>
      <w:r w:rsidRPr="00BC27B3">
        <w:rPr>
          <w:rFonts w:asciiTheme="majorBidi" w:hAnsiTheme="majorBidi" w:cstheme="majorBidi"/>
          <w:sz w:val="32"/>
          <w:szCs w:val="32"/>
          <w:rtl/>
        </w:rPr>
        <w:t>لا يجوز للصندوق أن يُقرض من أجل تغطية احتياج رأس المال العامل</w:t>
      </w:r>
      <w:r w:rsidR="005D5600" w:rsidRPr="00BC27B3">
        <w:rPr>
          <w:rFonts w:asciiTheme="majorBidi" w:hAnsiTheme="majorBidi" w:cstheme="majorBidi"/>
          <w:sz w:val="32"/>
          <w:szCs w:val="32"/>
          <w:rtl/>
        </w:rPr>
        <w:t>.</w:t>
      </w:r>
    </w:p>
    <w:p w:rsidR="00D96428" w:rsidRPr="00BC27B3" w:rsidRDefault="00D96428" w:rsidP="005D5600">
      <w:pPr>
        <w:pStyle w:val="ListParagraph"/>
        <w:bidi/>
        <w:rPr>
          <w:rFonts w:asciiTheme="majorBidi" w:hAnsiTheme="majorBidi" w:cstheme="majorBidi"/>
          <w:sz w:val="20"/>
          <w:szCs w:val="20"/>
          <w:rtl/>
        </w:rPr>
      </w:pPr>
    </w:p>
    <w:p w:rsidR="00D96428" w:rsidRPr="00BC27B3" w:rsidRDefault="005D5600"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tl/>
        </w:rPr>
        <w:t>تكون مدة استيفاء القرض الذي يقدمه الصندوق بما لا يزيد على خمسة عشرة سنة، وللصندوق زيادة هذه المدة إلى عشرين سنة في المناطق أو المدن الأقل نمواً</w:t>
      </w:r>
      <w:r w:rsidR="00D96428" w:rsidRPr="00BC27B3">
        <w:rPr>
          <w:rFonts w:asciiTheme="majorBidi" w:hAnsiTheme="majorBidi" w:cstheme="majorBidi"/>
          <w:sz w:val="32"/>
          <w:szCs w:val="32"/>
          <w:rtl/>
        </w:rPr>
        <w:t>.</w:t>
      </w:r>
    </w:p>
    <w:p w:rsidR="00D96428" w:rsidRPr="00BC27B3" w:rsidRDefault="00D96428" w:rsidP="005D5600">
      <w:pPr>
        <w:pStyle w:val="ListParagraph"/>
        <w:bidi/>
        <w:rPr>
          <w:rFonts w:asciiTheme="majorBidi" w:hAnsiTheme="majorBidi" w:cstheme="majorBidi"/>
          <w:sz w:val="20"/>
          <w:szCs w:val="20"/>
          <w:rtl/>
        </w:rPr>
      </w:pPr>
    </w:p>
    <w:p w:rsidR="00D96428" w:rsidRPr="00BC27B3" w:rsidRDefault="00D96428"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Pr>
        <w:softHyphen/>
      </w:r>
      <w:r w:rsidR="005D5600" w:rsidRPr="00BC27B3">
        <w:rPr>
          <w:rFonts w:asciiTheme="majorBidi" w:hAnsiTheme="majorBidi" w:cstheme="majorBidi"/>
          <w:sz w:val="32"/>
          <w:szCs w:val="32"/>
          <w:rtl/>
        </w:rPr>
        <w:t>يتقاضى الصندوق رسو</w:t>
      </w:r>
      <w:r w:rsidRPr="00BC27B3">
        <w:rPr>
          <w:rFonts w:asciiTheme="majorBidi" w:hAnsiTheme="majorBidi" w:cstheme="majorBidi"/>
          <w:sz w:val="32"/>
          <w:szCs w:val="32"/>
          <w:rtl/>
        </w:rPr>
        <w:t>ما</w:t>
      </w:r>
      <w:r w:rsidR="005D5600" w:rsidRPr="00BC27B3">
        <w:rPr>
          <w:rFonts w:asciiTheme="majorBidi" w:hAnsiTheme="majorBidi" w:cstheme="majorBidi"/>
          <w:sz w:val="32"/>
          <w:szCs w:val="32"/>
          <w:rtl/>
        </w:rPr>
        <w:t>ً</w:t>
      </w:r>
      <w:r w:rsidRPr="00BC27B3">
        <w:rPr>
          <w:rFonts w:asciiTheme="majorBidi" w:hAnsiTheme="majorBidi" w:cstheme="majorBidi"/>
          <w:sz w:val="32"/>
          <w:szCs w:val="32"/>
          <w:rtl/>
        </w:rPr>
        <w:t xml:space="preserve"> مناسبة مقابل المصروفات التي يتكبدها في سبيل ممارسة نشاطه حسبما يقرره مجلس إدارته</w:t>
      </w:r>
      <w:r w:rsidRPr="00BC27B3">
        <w:rPr>
          <w:rFonts w:asciiTheme="majorBidi" w:hAnsiTheme="majorBidi" w:cstheme="majorBidi"/>
          <w:sz w:val="32"/>
          <w:szCs w:val="32"/>
        </w:rPr>
        <w:t xml:space="preserve">. </w:t>
      </w:r>
    </w:p>
    <w:p w:rsidR="00D96428" w:rsidRPr="00622870" w:rsidRDefault="00D96428" w:rsidP="005D5600">
      <w:pPr>
        <w:pStyle w:val="ListParagraph"/>
        <w:bidi/>
        <w:rPr>
          <w:rFonts w:asciiTheme="majorBidi" w:hAnsiTheme="majorBidi" w:cstheme="majorBidi"/>
          <w:sz w:val="20"/>
          <w:szCs w:val="20"/>
          <w:rtl/>
        </w:rPr>
      </w:pPr>
    </w:p>
    <w:p w:rsidR="00D96428" w:rsidRDefault="005D5600" w:rsidP="00114815">
      <w:pPr>
        <w:pStyle w:val="ListParagraph"/>
        <w:numPr>
          <w:ilvl w:val="0"/>
          <w:numId w:val="2"/>
        </w:numPr>
        <w:tabs>
          <w:tab w:val="right" w:pos="900"/>
        </w:tabs>
        <w:bidi/>
        <w:spacing w:after="0" w:line="400" w:lineRule="exact"/>
        <w:ind w:left="360" w:firstLine="180"/>
        <w:rPr>
          <w:rFonts w:asciiTheme="majorBidi" w:hAnsiTheme="majorBidi" w:cstheme="majorBidi"/>
          <w:sz w:val="32"/>
          <w:szCs w:val="32"/>
        </w:rPr>
      </w:pPr>
      <w:r w:rsidRPr="00BC27B3">
        <w:rPr>
          <w:rFonts w:asciiTheme="majorBidi" w:hAnsiTheme="majorBidi" w:cstheme="majorBidi"/>
          <w:sz w:val="32"/>
          <w:szCs w:val="32"/>
          <w:rtl/>
        </w:rPr>
        <w:lastRenderedPageBreak/>
        <w:t xml:space="preserve">يضع الصندوق حدّاَ </w:t>
      </w:r>
      <w:r w:rsidR="00D96428" w:rsidRPr="00BC27B3">
        <w:rPr>
          <w:rFonts w:asciiTheme="majorBidi" w:hAnsiTheme="majorBidi" w:cstheme="majorBidi"/>
          <w:sz w:val="32"/>
          <w:szCs w:val="32"/>
          <w:rtl/>
        </w:rPr>
        <w:t>أعلى لمبلغ القروض التي يقدمها لأي مشروع</w:t>
      </w:r>
      <w:r w:rsidR="00BC27B3">
        <w:rPr>
          <w:rFonts w:asciiTheme="majorBidi" w:hAnsiTheme="majorBidi" w:cstheme="majorBidi"/>
          <w:sz w:val="32"/>
          <w:szCs w:val="32"/>
        </w:rPr>
        <w:t>.</w:t>
      </w:r>
    </w:p>
    <w:p w:rsidR="00BC27B3" w:rsidRPr="00BC27B3" w:rsidRDefault="00BC27B3" w:rsidP="00BC27B3">
      <w:pPr>
        <w:tabs>
          <w:tab w:val="right" w:pos="900"/>
        </w:tabs>
        <w:bidi/>
        <w:spacing w:after="0" w:line="240" w:lineRule="auto"/>
        <w:rPr>
          <w:rFonts w:asciiTheme="majorBidi" w:hAnsiTheme="majorBidi" w:cstheme="majorBidi"/>
          <w:sz w:val="20"/>
          <w:szCs w:val="20"/>
        </w:rPr>
      </w:pPr>
    </w:p>
    <w:p w:rsidR="00D96428" w:rsidRPr="00BC27B3" w:rsidRDefault="00D96428" w:rsidP="005D5600">
      <w:pPr>
        <w:pStyle w:val="ListParagraph"/>
        <w:numPr>
          <w:ilvl w:val="0"/>
          <w:numId w:val="2"/>
        </w:numPr>
        <w:tabs>
          <w:tab w:val="right" w:pos="900"/>
        </w:tabs>
        <w:bidi/>
        <w:spacing w:after="0" w:line="400" w:lineRule="exact"/>
        <w:ind w:left="360" w:firstLine="187"/>
        <w:rPr>
          <w:rFonts w:asciiTheme="majorBidi" w:hAnsiTheme="majorBidi" w:cstheme="majorBidi"/>
          <w:sz w:val="32"/>
          <w:szCs w:val="32"/>
        </w:rPr>
      </w:pPr>
      <w:r w:rsidRPr="00BC27B3">
        <w:rPr>
          <w:rFonts w:asciiTheme="majorBidi" w:hAnsiTheme="majorBidi" w:cstheme="majorBidi"/>
          <w:sz w:val="32"/>
          <w:szCs w:val="32"/>
        </w:rPr>
        <w:softHyphen/>
      </w:r>
      <w:r w:rsidRPr="00BC27B3">
        <w:rPr>
          <w:rFonts w:asciiTheme="majorBidi" w:hAnsiTheme="majorBidi" w:cstheme="majorBidi"/>
          <w:sz w:val="32"/>
          <w:szCs w:val="32"/>
          <w:rtl/>
        </w:rPr>
        <w:t>يجوز للصندوق أن يستثمر أمواله الفائضة إن وجدت في استثمارات قصيرة الأجل في داخل المملكة أو خارجها إلى حين استعمال هذه الأموال في عمليات الصندوق٬ وعلى الصندوق أن يتحقق من توفر عاملي السيولة والأمان في هذه الاستثمارات ويضاف الدخل الناتج عن هذه الاستثمارات إلى موارد الصندوق</w:t>
      </w:r>
      <w:r w:rsidR="00BC27B3">
        <w:rPr>
          <w:rFonts w:asciiTheme="majorBidi" w:hAnsiTheme="majorBidi" w:cstheme="majorBidi"/>
          <w:sz w:val="32"/>
          <w:szCs w:val="32"/>
        </w:rPr>
        <w:t>.</w:t>
      </w:r>
    </w:p>
    <w:p w:rsidR="008B4144" w:rsidRPr="00BC27B3" w:rsidRDefault="008B4144" w:rsidP="005D5600">
      <w:pPr>
        <w:pStyle w:val="ListParagraph"/>
        <w:tabs>
          <w:tab w:val="right" w:pos="900"/>
        </w:tabs>
        <w:bidi/>
        <w:spacing w:after="0" w:line="400" w:lineRule="exact"/>
        <w:ind w:left="547"/>
        <w:rPr>
          <w:rFonts w:asciiTheme="majorBidi" w:hAnsiTheme="majorBidi" w:cstheme="majorBidi"/>
          <w:sz w:val="32"/>
          <w:szCs w:val="32"/>
          <w:rtl/>
        </w:rPr>
      </w:pPr>
    </w:p>
    <w:p w:rsidR="00D96428" w:rsidRPr="00BC27B3" w:rsidRDefault="00D96428" w:rsidP="005D5600">
      <w:pPr>
        <w:pStyle w:val="ListParagraph"/>
        <w:tabs>
          <w:tab w:val="right" w:pos="900"/>
        </w:tabs>
        <w:bidi/>
        <w:spacing w:after="0" w:line="400" w:lineRule="exact"/>
        <w:ind w:left="547"/>
        <w:rPr>
          <w:rFonts w:asciiTheme="majorBidi" w:hAnsiTheme="majorBidi" w:cstheme="majorBidi"/>
          <w:sz w:val="32"/>
          <w:szCs w:val="32"/>
          <w:rtl/>
        </w:rPr>
      </w:pPr>
    </w:p>
    <w:p w:rsidR="00D96428" w:rsidRPr="00BC27B3" w:rsidRDefault="00D96428" w:rsidP="005D5600">
      <w:pPr>
        <w:pStyle w:val="ListParagraph"/>
        <w:tabs>
          <w:tab w:val="right" w:pos="900"/>
        </w:tabs>
        <w:bidi/>
        <w:spacing w:after="0" w:line="400" w:lineRule="exact"/>
        <w:ind w:left="547"/>
        <w:rPr>
          <w:rFonts w:asciiTheme="majorBidi" w:hAnsiTheme="majorBidi" w:cstheme="majorBidi"/>
          <w:sz w:val="32"/>
          <w:szCs w:val="32"/>
          <w:rtl/>
        </w:rPr>
      </w:pPr>
    </w:p>
    <w:p w:rsidR="005D5600" w:rsidRPr="00BC27B3" w:rsidRDefault="008B4144" w:rsidP="00114815">
      <w:pPr>
        <w:bidi/>
        <w:rPr>
          <w:rFonts w:asciiTheme="majorBidi" w:hAnsiTheme="majorBidi" w:cstheme="majorBidi"/>
          <w:sz w:val="32"/>
          <w:szCs w:val="32"/>
          <w:rtl/>
        </w:rPr>
      </w:pPr>
      <w:r w:rsidRPr="00BC27B3">
        <w:rPr>
          <w:rFonts w:asciiTheme="majorBidi" w:hAnsiTheme="majorBidi" w:cstheme="majorBidi"/>
          <w:sz w:val="32"/>
          <w:szCs w:val="32"/>
        </w:rPr>
        <w:t xml:space="preserve"> </w:t>
      </w:r>
      <w:r w:rsidRPr="00BC27B3">
        <w:rPr>
          <w:rFonts w:asciiTheme="majorBidi" w:hAnsiTheme="majorBidi" w:cstheme="majorBidi"/>
          <w:sz w:val="32"/>
          <w:szCs w:val="32"/>
          <w:rtl/>
        </w:rPr>
        <w:t>المادة الخامسة: رأس مال الصندوق</w:t>
      </w:r>
      <w:r w:rsidR="00114815" w:rsidRPr="00BC27B3">
        <w:rPr>
          <w:rFonts w:asciiTheme="majorBidi" w:hAnsiTheme="majorBidi" w:cstheme="majorBidi"/>
          <w:sz w:val="32"/>
          <w:szCs w:val="32"/>
          <w:rtl/>
        </w:rPr>
        <w:t xml:space="preserve"> </w:t>
      </w:r>
      <w:r w:rsidR="00114815" w:rsidRPr="00BC27B3">
        <w:rPr>
          <w:rStyle w:val="FootnoteReference"/>
          <w:rFonts w:asciiTheme="majorBidi" w:hAnsiTheme="majorBidi" w:cstheme="majorBidi"/>
          <w:sz w:val="32"/>
          <w:szCs w:val="32"/>
          <w:rtl/>
        </w:rPr>
        <w:footnoteReference w:id="1"/>
      </w:r>
    </w:p>
    <w:p w:rsidR="008B4144" w:rsidRPr="00BC27B3" w:rsidRDefault="008B4144" w:rsidP="00114815">
      <w:pPr>
        <w:bidi/>
        <w:rPr>
          <w:rFonts w:asciiTheme="majorBidi" w:hAnsiTheme="majorBidi" w:cstheme="majorBidi"/>
          <w:sz w:val="32"/>
          <w:szCs w:val="32"/>
          <w:rtl/>
        </w:rPr>
      </w:pPr>
      <w:r w:rsidRPr="00BC27B3">
        <w:rPr>
          <w:rFonts w:asciiTheme="majorBidi" w:hAnsiTheme="majorBidi" w:cstheme="majorBidi"/>
          <w:sz w:val="32"/>
          <w:szCs w:val="32"/>
          <w:rtl/>
        </w:rPr>
        <w:t xml:space="preserve"> </w:t>
      </w:r>
      <w:r w:rsidR="00114815" w:rsidRPr="00BC27B3">
        <w:rPr>
          <w:rFonts w:asciiTheme="majorBidi" w:hAnsiTheme="majorBidi" w:cstheme="majorBidi"/>
          <w:sz w:val="32"/>
          <w:szCs w:val="32"/>
          <w:rtl/>
        </w:rPr>
        <w:t>رأس مال الصندوق خمسمائة مليون ريال</w:t>
      </w:r>
      <w:r w:rsidRPr="00BC27B3">
        <w:rPr>
          <w:rFonts w:asciiTheme="majorBidi" w:hAnsiTheme="majorBidi" w:cstheme="majorBidi"/>
          <w:sz w:val="32"/>
          <w:szCs w:val="32"/>
          <w:rtl/>
        </w:rPr>
        <w:t xml:space="preserve"> تدفعه وزارة ا</w:t>
      </w:r>
      <w:r w:rsidR="00114815" w:rsidRPr="00BC27B3">
        <w:rPr>
          <w:rFonts w:asciiTheme="majorBidi" w:hAnsiTheme="majorBidi" w:cstheme="majorBidi"/>
          <w:sz w:val="32"/>
          <w:szCs w:val="32"/>
          <w:rtl/>
        </w:rPr>
        <w:t>لمالية والاقتصاد الوطني تدريجيا حسبما يتم الاتفاق عليه مع الصندوق٬ ويجوز زيادته بقرار من مجلس الوزراء</w:t>
      </w:r>
      <w:r w:rsidRPr="00BC27B3">
        <w:rPr>
          <w:rFonts w:asciiTheme="majorBidi" w:hAnsiTheme="majorBidi" w:cstheme="majorBidi"/>
          <w:sz w:val="32"/>
          <w:szCs w:val="32"/>
        </w:rPr>
        <w:t xml:space="preserve">. </w:t>
      </w:r>
    </w:p>
    <w:p w:rsidR="008B4144" w:rsidRPr="00BC27B3" w:rsidRDefault="008B4144" w:rsidP="008B4144">
      <w:pPr>
        <w:bidi/>
        <w:rPr>
          <w:rFonts w:asciiTheme="majorBidi" w:hAnsiTheme="majorBidi" w:cstheme="majorBidi"/>
          <w:sz w:val="32"/>
          <w:szCs w:val="32"/>
          <w:rtl/>
        </w:rPr>
      </w:pPr>
    </w:p>
    <w:p w:rsidR="00114815"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المادة السادسة</w:t>
      </w:r>
      <w:r w:rsidR="00114815" w:rsidRPr="00BC27B3">
        <w:rPr>
          <w:rFonts w:asciiTheme="majorBidi" w:hAnsiTheme="majorBidi" w:cstheme="majorBidi"/>
          <w:sz w:val="32"/>
          <w:szCs w:val="32"/>
          <w:rtl/>
        </w:rPr>
        <w:t>:</w:t>
      </w:r>
    </w:p>
    <w:p w:rsidR="008B4144" w:rsidRPr="00BC27B3" w:rsidRDefault="008B4144" w:rsidP="00114815">
      <w:pPr>
        <w:bidi/>
        <w:rPr>
          <w:rFonts w:asciiTheme="majorBidi" w:hAnsiTheme="majorBidi" w:cstheme="majorBidi"/>
          <w:sz w:val="32"/>
          <w:szCs w:val="32"/>
          <w:rtl/>
        </w:rPr>
      </w:pPr>
      <w:r w:rsidRPr="00BC27B3">
        <w:rPr>
          <w:rFonts w:asciiTheme="majorBidi" w:hAnsiTheme="majorBidi" w:cstheme="majorBidi"/>
          <w:sz w:val="32"/>
          <w:szCs w:val="32"/>
        </w:rPr>
        <w:t xml:space="preserve"> </w:t>
      </w:r>
      <w:r w:rsidRPr="00BC27B3">
        <w:rPr>
          <w:rFonts w:asciiTheme="majorBidi" w:hAnsiTheme="majorBidi" w:cstheme="majorBidi"/>
          <w:sz w:val="32"/>
          <w:szCs w:val="32"/>
          <w:rtl/>
        </w:rPr>
        <w:t>تتمتع القروض التي يمنحها الصندوق بالمزايا والضمانات المترتبة لحقوق الخزانة العامة وتكون قابلة لل</w:t>
      </w:r>
      <w:r w:rsidR="00114815" w:rsidRPr="00BC27B3">
        <w:rPr>
          <w:rFonts w:asciiTheme="majorBidi" w:hAnsiTheme="majorBidi" w:cstheme="majorBidi"/>
          <w:sz w:val="32"/>
          <w:szCs w:val="32"/>
          <w:rtl/>
        </w:rPr>
        <w:t xml:space="preserve">تحصيل؛ كأموال الدولة الأخرى وفقا للقواعد </w:t>
      </w:r>
      <w:r w:rsidRPr="00BC27B3">
        <w:rPr>
          <w:rFonts w:asciiTheme="majorBidi" w:hAnsiTheme="majorBidi" w:cstheme="majorBidi"/>
          <w:sz w:val="32"/>
          <w:szCs w:val="32"/>
          <w:rtl/>
        </w:rPr>
        <w:t>المنظمة لجباية أموال الدولة</w:t>
      </w:r>
      <w:r w:rsidR="00114815" w:rsidRPr="00BC27B3">
        <w:rPr>
          <w:rFonts w:asciiTheme="majorBidi" w:hAnsiTheme="majorBidi" w:cstheme="majorBidi"/>
          <w:sz w:val="32"/>
          <w:szCs w:val="32"/>
          <w:rtl/>
        </w:rPr>
        <w:t>.</w:t>
      </w:r>
    </w:p>
    <w:p w:rsidR="008B4144" w:rsidRPr="00BC27B3" w:rsidRDefault="008B4144" w:rsidP="008B4144">
      <w:pPr>
        <w:bidi/>
        <w:rPr>
          <w:rFonts w:asciiTheme="majorBidi" w:hAnsiTheme="majorBidi" w:cstheme="majorBidi"/>
          <w:sz w:val="32"/>
          <w:szCs w:val="32"/>
          <w:rtl/>
        </w:rPr>
      </w:pPr>
    </w:p>
    <w:p w:rsidR="00114815"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 xml:space="preserve">المادة السابعة: مجلس إدارة الصندوق </w:t>
      </w:r>
    </w:p>
    <w:p w:rsidR="008B4144" w:rsidRPr="00BC27B3" w:rsidRDefault="005F5508" w:rsidP="00114815">
      <w:pPr>
        <w:bidi/>
        <w:rPr>
          <w:rFonts w:asciiTheme="majorBidi" w:hAnsiTheme="majorBidi" w:cstheme="majorBidi"/>
          <w:sz w:val="32"/>
          <w:szCs w:val="32"/>
          <w:rtl/>
        </w:rPr>
      </w:pPr>
      <w:r w:rsidRPr="00BC27B3">
        <w:rPr>
          <w:rFonts w:asciiTheme="majorBidi" w:hAnsiTheme="majorBidi" w:cstheme="majorBidi"/>
          <w:sz w:val="32"/>
          <w:szCs w:val="32"/>
          <w:rtl/>
        </w:rPr>
        <w:t xml:space="preserve">يكون للصندوق مجلس إدارة برئاسة وزير الطاقة والصناعة والثروة المعدنية، وعضوية أربعة أعضاء آخرين يعينهم مجلس الوزراء بناءً على توصية وزير الطاقة والصناعة والثروة المعدنية لمدة لا تزيد على أربع سنوات </w:t>
      </w:r>
      <w:r w:rsidR="008B4144" w:rsidRPr="00BC27B3">
        <w:rPr>
          <w:rFonts w:asciiTheme="majorBidi" w:hAnsiTheme="majorBidi" w:cstheme="majorBidi"/>
          <w:sz w:val="32"/>
          <w:szCs w:val="32"/>
          <w:rtl/>
        </w:rPr>
        <w:t>٬ ويجوز إعادة تعيينهم لمدة أو لمدد أخرى ويحدد مجلس الوزراء مكافأة رئيس وأعضاء م</w:t>
      </w:r>
      <w:r w:rsidR="00114815" w:rsidRPr="00BC27B3">
        <w:rPr>
          <w:rFonts w:asciiTheme="majorBidi" w:hAnsiTheme="majorBidi" w:cstheme="majorBidi"/>
          <w:sz w:val="32"/>
          <w:szCs w:val="32"/>
          <w:rtl/>
        </w:rPr>
        <w:t>جلس الإدارة ٬ ويكون المجلس مسئو</w:t>
      </w:r>
      <w:r w:rsidR="008B4144" w:rsidRPr="00BC27B3">
        <w:rPr>
          <w:rFonts w:asciiTheme="majorBidi" w:hAnsiTheme="majorBidi" w:cstheme="majorBidi"/>
          <w:sz w:val="32"/>
          <w:szCs w:val="32"/>
          <w:rtl/>
        </w:rPr>
        <w:t>لا</w:t>
      </w:r>
      <w:r w:rsidR="00114815" w:rsidRPr="00BC27B3">
        <w:rPr>
          <w:rFonts w:asciiTheme="majorBidi" w:hAnsiTheme="majorBidi" w:cstheme="majorBidi"/>
          <w:sz w:val="32"/>
          <w:szCs w:val="32"/>
          <w:rtl/>
        </w:rPr>
        <w:t>ً</w:t>
      </w:r>
      <w:r w:rsidR="008B4144" w:rsidRPr="00BC27B3">
        <w:rPr>
          <w:rFonts w:asciiTheme="majorBidi" w:hAnsiTheme="majorBidi" w:cstheme="majorBidi"/>
          <w:sz w:val="32"/>
          <w:szCs w:val="32"/>
          <w:rtl/>
        </w:rPr>
        <w:t xml:space="preserve"> عن توجيه نشاط الصندوق وسياسته العامة</w:t>
      </w:r>
      <w:r w:rsidR="00114815" w:rsidRPr="00BC27B3">
        <w:rPr>
          <w:rFonts w:asciiTheme="majorBidi" w:hAnsiTheme="majorBidi" w:cstheme="majorBidi"/>
          <w:sz w:val="32"/>
          <w:szCs w:val="32"/>
          <w:rtl/>
        </w:rPr>
        <w:t>.</w:t>
      </w:r>
    </w:p>
    <w:p w:rsidR="008B4144" w:rsidRPr="00BC27B3" w:rsidRDefault="008B4144" w:rsidP="008B4144">
      <w:pPr>
        <w:bidi/>
        <w:rPr>
          <w:rFonts w:asciiTheme="majorBidi" w:hAnsiTheme="majorBidi" w:cstheme="majorBidi"/>
          <w:sz w:val="32"/>
          <w:szCs w:val="32"/>
          <w:rtl/>
        </w:rPr>
      </w:pPr>
    </w:p>
    <w:p w:rsidR="00114815" w:rsidRPr="00BC27B3" w:rsidRDefault="00114815" w:rsidP="008B4144">
      <w:pPr>
        <w:bidi/>
        <w:rPr>
          <w:rFonts w:asciiTheme="majorBidi" w:hAnsiTheme="majorBidi" w:cstheme="majorBidi"/>
          <w:sz w:val="32"/>
          <w:szCs w:val="32"/>
          <w:rtl/>
        </w:rPr>
      </w:pPr>
      <w:r w:rsidRPr="00BC27B3">
        <w:rPr>
          <w:rFonts w:asciiTheme="majorBidi" w:hAnsiTheme="majorBidi" w:cstheme="majorBidi"/>
          <w:sz w:val="32"/>
          <w:szCs w:val="32"/>
          <w:rtl/>
        </w:rPr>
        <w:t>المادة الثامنة: اجت</w:t>
      </w:r>
      <w:r w:rsidR="008B4144" w:rsidRPr="00BC27B3">
        <w:rPr>
          <w:rFonts w:asciiTheme="majorBidi" w:hAnsiTheme="majorBidi" w:cstheme="majorBidi"/>
          <w:sz w:val="32"/>
          <w:szCs w:val="32"/>
          <w:rtl/>
        </w:rPr>
        <w:t>ماعات مجلِس الإدارة</w:t>
      </w:r>
    </w:p>
    <w:p w:rsidR="008B4144" w:rsidRPr="00BC27B3" w:rsidRDefault="008B4144" w:rsidP="00114815">
      <w:pPr>
        <w:bidi/>
        <w:rPr>
          <w:rFonts w:asciiTheme="majorBidi" w:hAnsiTheme="majorBidi" w:cstheme="majorBidi"/>
          <w:sz w:val="32"/>
          <w:szCs w:val="32"/>
          <w:rtl/>
        </w:rPr>
      </w:pPr>
      <w:r w:rsidRPr="00BC27B3">
        <w:rPr>
          <w:rFonts w:asciiTheme="majorBidi" w:hAnsiTheme="majorBidi" w:cstheme="majorBidi"/>
          <w:sz w:val="32"/>
          <w:szCs w:val="32"/>
          <w:rtl/>
        </w:rPr>
        <w:lastRenderedPageBreak/>
        <w:t xml:space="preserve"> يجتمع مجلس إدارة الصندوق بناء على دعوة رئيسه كلما دعت الح</w:t>
      </w:r>
      <w:r w:rsidR="00114815" w:rsidRPr="00BC27B3">
        <w:rPr>
          <w:rFonts w:asciiTheme="majorBidi" w:hAnsiTheme="majorBidi" w:cstheme="majorBidi"/>
          <w:sz w:val="32"/>
          <w:szCs w:val="32"/>
          <w:rtl/>
        </w:rPr>
        <w:t>اجة٬ ويُنتخب من بين أعضائه نائب</w:t>
      </w:r>
      <w:r w:rsidRPr="00BC27B3">
        <w:rPr>
          <w:rFonts w:asciiTheme="majorBidi" w:hAnsiTheme="majorBidi" w:cstheme="majorBidi"/>
          <w:sz w:val="32"/>
          <w:szCs w:val="32"/>
          <w:rtl/>
        </w:rPr>
        <w:t xml:space="preserve">ا للرئيس يساعده في حضوره وينوب عنه في غيابه٬ </w:t>
      </w:r>
      <w:r w:rsidR="00114815" w:rsidRPr="00BC27B3">
        <w:rPr>
          <w:rFonts w:asciiTheme="majorBidi" w:hAnsiTheme="majorBidi" w:cstheme="majorBidi"/>
          <w:sz w:val="32"/>
          <w:szCs w:val="32"/>
          <w:rtl/>
        </w:rPr>
        <w:t>ولا يكون اجتماع المجلس صحي</w:t>
      </w:r>
      <w:r w:rsidRPr="00BC27B3">
        <w:rPr>
          <w:rFonts w:asciiTheme="majorBidi" w:hAnsiTheme="majorBidi" w:cstheme="majorBidi"/>
          <w:sz w:val="32"/>
          <w:szCs w:val="32"/>
          <w:rtl/>
        </w:rPr>
        <w:t>حا إلا إذا حضره أغل</w:t>
      </w:r>
      <w:r w:rsidR="00114815" w:rsidRPr="00BC27B3">
        <w:rPr>
          <w:rFonts w:asciiTheme="majorBidi" w:hAnsiTheme="majorBidi" w:cstheme="majorBidi"/>
          <w:sz w:val="32"/>
          <w:szCs w:val="32"/>
          <w:rtl/>
        </w:rPr>
        <w:t>بية الأعضاء٬ وتتخذ قرارات المجل</w:t>
      </w:r>
      <w:r w:rsidRPr="00BC27B3">
        <w:rPr>
          <w:rFonts w:asciiTheme="majorBidi" w:hAnsiTheme="majorBidi" w:cstheme="majorBidi"/>
          <w:sz w:val="32"/>
          <w:szCs w:val="32"/>
          <w:rtl/>
        </w:rPr>
        <w:t>س بأغلبية الحاضرين٬ وعند تساوي الآراء يُرجح الرأي الذي وافق عليه رئيس الاجتماع</w:t>
      </w:r>
      <w:r w:rsidRPr="00BC27B3">
        <w:rPr>
          <w:rFonts w:asciiTheme="majorBidi" w:hAnsiTheme="majorBidi" w:cstheme="majorBidi"/>
          <w:sz w:val="32"/>
          <w:szCs w:val="32"/>
        </w:rPr>
        <w:t xml:space="preserve">. </w:t>
      </w:r>
    </w:p>
    <w:p w:rsidR="008B4144" w:rsidRPr="00BC27B3" w:rsidRDefault="008B4144" w:rsidP="008B4144">
      <w:pPr>
        <w:bidi/>
        <w:rPr>
          <w:rFonts w:asciiTheme="majorBidi" w:hAnsiTheme="majorBidi" w:cstheme="majorBidi"/>
          <w:sz w:val="32"/>
          <w:szCs w:val="32"/>
          <w:rtl/>
        </w:rPr>
      </w:pPr>
    </w:p>
    <w:p w:rsidR="00114815"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 xml:space="preserve">المادة التاسعة: مدير عام الصندوق ونائبه </w:t>
      </w:r>
    </w:p>
    <w:p w:rsidR="008B4144" w:rsidRPr="00BC27B3" w:rsidRDefault="008B4144" w:rsidP="00114815">
      <w:pPr>
        <w:bidi/>
        <w:rPr>
          <w:rFonts w:asciiTheme="majorBidi" w:hAnsiTheme="majorBidi" w:cstheme="majorBidi"/>
          <w:sz w:val="32"/>
          <w:szCs w:val="32"/>
          <w:rtl/>
        </w:rPr>
      </w:pPr>
      <w:r w:rsidRPr="00BC27B3">
        <w:rPr>
          <w:rFonts w:asciiTheme="majorBidi" w:hAnsiTheme="majorBidi" w:cstheme="majorBidi"/>
          <w:sz w:val="32"/>
          <w:szCs w:val="32"/>
          <w:rtl/>
        </w:rPr>
        <w:t>يكون للصندوق مدير عام ونائب له ويكون المدير العام مسئوًلا أمام مجلس الإدارة عن تنفيذ وتطبيق وتدعيم سياسة الصندوق ولوائحه وقرارات مجلس إدارته٬ ويحضر المدير العام جلسات مجلس الإدارة ويشترك في مناقشات المجلس ويوقع على محاضر جلساته٬ ولكن لا يكون له صوت في المداولات</w:t>
      </w:r>
      <w:r w:rsidR="00114815" w:rsidRPr="00BC27B3">
        <w:rPr>
          <w:rFonts w:asciiTheme="majorBidi" w:hAnsiTheme="majorBidi" w:cstheme="majorBidi"/>
          <w:sz w:val="32"/>
          <w:szCs w:val="32"/>
          <w:rtl/>
        </w:rPr>
        <w:t>.</w:t>
      </w:r>
    </w:p>
    <w:p w:rsidR="008B4144" w:rsidRPr="00BC27B3" w:rsidRDefault="008B4144" w:rsidP="008B4144">
      <w:pPr>
        <w:bidi/>
        <w:rPr>
          <w:rFonts w:asciiTheme="majorBidi" w:hAnsiTheme="majorBidi" w:cstheme="majorBidi"/>
          <w:sz w:val="32"/>
          <w:szCs w:val="32"/>
          <w:rtl/>
        </w:rPr>
      </w:pPr>
    </w:p>
    <w:p w:rsidR="00114815"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 xml:space="preserve">المادة العاشرة: لوائح الصندوق </w:t>
      </w:r>
    </w:p>
    <w:p w:rsidR="008B4144" w:rsidRPr="00BC27B3" w:rsidRDefault="008B4144" w:rsidP="00114815">
      <w:pPr>
        <w:bidi/>
        <w:rPr>
          <w:rFonts w:asciiTheme="majorBidi" w:hAnsiTheme="majorBidi" w:cstheme="majorBidi"/>
          <w:sz w:val="32"/>
          <w:szCs w:val="32"/>
          <w:rtl/>
        </w:rPr>
      </w:pPr>
      <w:r w:rsidRPr="00BC27B3">
        <w:rPr>
          <w:rFonts w:asciiTheme="majorBidi" w:hAnsiTheme="majorBidi" w:cstheme="majorBidi"/>
          <w:sz w:val="32"/>
          <w:szCs w:val="32"/>
          <w:rtl/>
        </w:rPr>
        <w:t>يصدر مجلس إدارة الصندوق اللوائح اللازمة لإدارته</w:t>
      </w:r>
      <w:r w:rsidRPr="00BC27B3">
        <w:rPr>
          <w:rFonts w:asciiTheme="majorBidi" w:hAnsiTheme="majorBidi" w:cstheme="majorBidi"/>
          <w:sz w:val="32"/>
          <w:szCs w:val="32"/>
        </w:rPr>
        <w:t xml:space="preserve">. </w:t>
      </w:r>
    </w:p>
    <w:p w:rsidR="008B4144" w:rsidRPr="00BC27B3" w:rsidRDefault="008B4144" w:rsidP="008B4144">
      <w:pPr>
        <w:bidi/>
        <w:rPr>
          <w:rFonts w:asciiTheme="majorBidi" w:hAnsiTheme="majorBidi" w:cstheme="majorBidi"/>
          <w:sz w:val="32"/>
          <w:szCs w:val="32"/>
          <w:rtl/>
        </w:rPr>
      </w:pPr>
    </w:p>
    <w:p w:rsidR="00114815"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المادة الحادية عشرة</w:t>
      </w:r>
      <w:r w:rsidRPr="00BC27B3">
        <w:rPr>
          <w:rFonts w:asciiTheme="majorBidi" w:hAnsiTheme="majorBidi" w:cstheme="majorBidi"/>
          <w:sz w:val="32"/>
          <w:szCs w:val="32"/>
        </w:rPr>
        <w:t xml:space="preserve">: </w:t>
      </w:r>
    </w:p>
    <w:p w:rsidR="008B4144" w:rsidRPr="00BC27B3" w:rsidRDefault="008B4144" w:rsidP="00622870">
      <w:pPr>
        <w:bidi/>
        <w:rPr>
          <w:rFonts w:asciiTheme="majorBidi" w:hAnsiTheme="majorBidi" w:cstheme="majorBidi"/>
          <w:sz w:val="32"/>
          <w:szCs w:val="32"/>
          <w:rtl/>
        </w:rPr>
      </w:pPr>
      <w:r w:rsidRPr="00BC27B3">
        <w:rPr>
          <w:rFonts w:asciiTheme="majorBidi" w:hAnsiTheme="majorBidi" w:cstheme="majorBidi"/>
          <w:sz w:val="32"/>
          <w:szCs w:val="32"/>
          <w:rtl/>
        </w:rPr>
        <w:t>يجوز أن يعقد الصندوق اتفاقية مع مؤسسة أو مؤسسات ذات خبرة وسمعة عالية؛ لتزويد الصندوق بالخدمات الفنية والمهنية بالشروط التي يتفق عليها</w:t>
      </w:r>
      <w:r w:rsidR="005F5508" w:rsidRPr="00BC27B3">
        <w:rPr>
          <w:rFonts w:asciiTheme="majorBidi" w:hAnsiTheme="majorBidi" w:cstheme="majorBidi"/>
          <w:sz w:val="32"/>
          <w:szCs w:val="32"/>
          <w:rtl/>
        </w:rPr>
        <w:t xml:space="preserve"> ولعدد محدود من السنوات،</w:t>
      </w:r>
      <w:r w:rsidR="00622870">
        <w:rPr>
          <w:rFonts w:asciiTheme="majorBidi" w:hAnsiTheme="majorBidi" w:cstheme="majorBidi" w:hint="cs"/>
          <w:sz w:val="32"/>
          <w:szCs w:val="32"/>
          <w:rtl/>
        </w:rPr>
        <w:t xml:space="preserve">  </w:t>
      </w:r>
      <w:r w:rsidR="005F5508" w:rsidRPr="00BC27B3">
        <w:rPr>
          <w:rFonts w:asciiTheme="majorBidi" w:hAnsiTheme="majorBidi" w:cstheme="majorBidi"/>
          <w:sz w:val="32"/>
          <w:szCs w:val="32"/>
          <w:rtl/>
        </w:rPr>
        <w:t>ويجوز تجديدها طبق</w:t>
      </w:r>
      <w:r w:rsidRPr="00BC27B3">
        <w:rPr>
          <w:rFonts w:asciiTheme="majorBidi" w:hAnsiTheme="majorBidi" w:cstheme="majorBidi"/>
          <w:sz w:val="32"/>
          <w:szCs w:val="32"/>
          <w:rtl/>
        </w:rPr>
        <w:t xml:space="preserve">ا لما يراه مجلس الإدارة ويكون من بين الخدمات التي تقدمها المؤسسة أو المؤسسات المتعاقد معها تقديم </w:t>
      </w:r>
      <w:r w:rsidR="005F5508" w:rsidRPr="00BC27B3">
        <w:rPr>
          <w:rFonts w:asciiTheme="majorBidi" w:hAnsiTheme="majorBidi" w:cstheme="majorBidi"/>
          <w:sz w:val="32"/>
          <w:szCs w:val="32"/>
          <w:rtl/>
        </w:rPr>
        <w:t>مدير عام الصندوق ابتدا</w:t>
      </w:r>
      <w:r w:rsidRPr="00BC27B3">
        <w:rPr>
          <w:rFonts w:asciiTheme="majorBidi" w:hAnsiTheme="majorBidi" w:cstheme="majorBidi"/>
          <w:sz w:val="32"/>
          <w:szCs w:val="32"/>
          <w:rtl/>
        </w:rPr>
        <w:t>ء</w:t>
      </w:r>
      <w:r w:rsidR="005F5508" w:rsidRPr="00BC27B3">
        <w:rPr>
          <w:rFonts w:asciiTheme="majorBidi" w:hAnsiTheme="majorBidi" w:cstheme="majorBidi"/>
          <w:sz w:val="32"/>
          <w:szCs w:val="32"/>
          <w:rtl/>
        </w:rPr>
        <w:t>ً</w:t>
      </w:r>
      <w:r w:rsidRPr="00BC27B3">
        <w:rPr>
          <w:rFonts w:asciiTheme="majorBidi" w:hAnsiTheme="majorBidi" w:cstheme="majorBidi"/>
          <w:sz w:val="32"/>
          <w:szCs w:val="32"/>
          <w:rtl/>
        </w:rPr>
        <w:t xml:space="preserve"> من تاريخ ممارسة الصندوق لنشاطه وللمدة التي يتفق مجلس الإدارة عليها مع المؤسسة</w:t>
      </w:r>
      <w:r w:rsidRPr="00BC27B3">
        <w:rPr>
          <w:rFonts w:asciiTheme="majorBidi" w:hAnsiTheme="majorBidi" w:cstheme="majorBidi"/>
          <w:sz w:val="32"/>
          <w:szCs w:val="32"/>
        </w:rPr>
        <w:t>.</w:t>
      </w:r>
      <w:r w:rsidRPr="00BC27B3">
        <w:rPr>
          <w:rFonts w:asciiTheme="majorBidi" w:hAnsiTheme="majorBidi" w:cstheme="majorBidi"/>
          <w:sz w:val="32"/>
          <w:szCs w:val="32"/>
          <w:rtl/>
        </w:rPr>
        <w:t xml:space="preserve"> </w:t>
      </w:r>
    </w:p>
    <w:p w:rsidR="008B4144" w:rsidRPr="00BC27B3" w:rsidRDefault="008B4144" w:rsidP="008B4144">
      <w:pPr>
        <w:bidi/>
        <w:rPr>
          <w:rFonts w:asciiTheme="majorBidi" w:hAnsiTheme="majorBidi" w:cstheme="majorBidi"/>
          <w:sz w:val="32"/>
          <w:szCs w:val="32"/>
          <w:rtl/>
        </w:rPr>
      </w:pPr>
    </w:p>
    <w:p w:rsidR="00114815" w:rsidRPr="00BC27B3" w:rsidRDefault="005F5508" w:rsidP="008B4144">
      <w:pPr>
        <w:bidi/>
        <w:rPr>
          <w:rFonts w:asciiTheme="majorBidi" w:hAnsiTheme="majorBidi" w:cstheme="majorBidi"/>
          <w:sz w:val="32"/>
          <w:szCs w:val="32"/>
          <w:rtl/>
        </w:rPr>
      </w:pPr>
      <w:r w:rsidRPr="00BC27B3">
        <w:rPr>
          <w:rFonts w:asciiTheme="majorBidi" w:hAnsiTheme="majorBidi" w:cstheme="majorBidi"/>
          <w:sz w:val="32"/>
          <w:szCs w:val="32"/>
          <w:rtl/>
        </w:rPr>
        <w:t xml:space="preserve">المادة الثانية عشرة: </w:t>
      </w:r>
      <w:r w:rsidR="008B4144" w:rsidRPr="00BC27B3">
        <w:rPr>
          <w:rFonts w:asciiTheme="majorBidi" w:hAnsiTheme="majorBidi" w:cstheme="majorBidi"/>
          <w:sz w:val="32"/>
          <w:szCs w:val="32"/>
          <w:rtl/>
        </w:rPr>
        <w:t>م</w:t>
      </w:r>
      <w:r w:rsidRPr="00BC27B3">
        <w:rPr>
          <w:rFonts w:asciiTheme="majorBidi" w:hAnsiTheme="majorBidi" w:cstheme="majorBidi"/>
          <w:sz w:val="32"/>
          <w:szCs w:val="32"/>
          <w:rtl/>
        </w:rPr>
        <w:t>ُ</w:t>
      </w:r>
      <w:r w:rsidR="008B4144" w:rsidRPr="00BC27B3">
        <w:rPr>
          <w:rFonts w:asciiTheme="majorBidi" w:hAnsiTheme="majorBidi" w:cstheme="majorBidi"/>
          <w:sz w:val="32"/>
          <w:szCs w:val="32"/>
          <w:rtl/>
        </w:rPr>
        <w:t>را</w:t>
      </w:r>
      <w:r w:rsidRPr="00BC27B3">
        <w:rPr>
          <w:rFonts w:asciiTheme="majorBidi" w:hAnsiTheme="majorBidi" w:cstheme="majorBidi"/>
          <w:sz w:val="32"/>
          <w:szCs w:val="32"/>
          <w:rtl/>
        </w:rPr>
        <w:t xml:space="preserve">جع </w:t>
      </w:r>
      <w:r w:rsidR="00114815" w:rsidRPr="00BC27B3">
        <w:rPr>
          <w:rFonts w:asciiTheme="majorBidi" w:hAnsiTheme="majorBidi" w:cstheme="majorBidi"/>
          <w:sz w:val="32"/>
          <w:szCs w:val="32"/>
          <w:rtl/>
        </w:rPr>
        <w:t>حسابات الصندوق</w:t>
      </w:r>
    </w:p>
    <w:p w:rsidR="008B4144" w:rsidRPr="00BC27B3" w:rsidRDefault="008B4144" w:rsidP="00114815">
      <w:pPr>
        <w:bidi/>
        <w:rPr>
          <w:rFonts w:asciiTheme="majorBidi" w:hAnsiTheme="majorBidi" w:cstheme="majorBidi"/>
          <w:sz w:val="32"/>
          <w:szCs w:val="32"/>
          <w:rtl/>
        </w:rPr>
      </w:pPr>
      <w:r w:rsidRPr="00BC27B3">
        <w:rPr>
          <w:rFonts w:asciiTheme="majorBidi" w:hAnsiTheme="majorBidi" w:cstheme="majorBidi"/>
          <w:sz w:val="32"/>
          <w:szCs w:val="32"/>
          <w:rtl/>
        </w:rPr>
        <w:t xml:space="preserve">يعين مجلس إدارة الصندوق مراجع حسابات أو أكثر من ذوي الخبرة العالية يقوم بأعمال المراجعة الحسابية المتعارف عليها بالإضافة إلى أية مراقبة محاسبية داخلية تقررها لوائح </w:t>
      </w:r>
      <w:r w:rsidRPr="00BC27B3">
        <w:rPr>
          <w:rFonts w:asciiTheme="majorBidi" w:hAnsiTheme="majorBidi" w:cstheme="majorBidi"/>
          <w:sz w:val="32"/>
          <w:szCs w:val="32"/>
          <w:rtl/>
        </w:rPr>
        <w:lastRenderedPageBreak/>
        <w:t>الصندوق أو مجلس إدارته٬ ويحدد مجلس إدارة الصندوق أتعاب المراجع ومدة عمله ويجوز إعادة تعيينه</w:t>
      </w:r>
      <w:r w:rsidRPr="00BC27B3">
        <w:rPr>
          <w:rFonts w:asciiTheme="majorBidi" w:hAnsiTheme="majorBidi" w:cstheme="majorBidi"/>
          <w:sz w:val="32"/>
          <w:szCs w:val="32"/>
        </w:rPr>
        <w:t xml:space="preserve">. </w:t>
      </w:r>
    </w:p>
    <w:p w:rsidR="008B4144" w:rsidRPr="00BC27B3" w:rsidRDefault="008B4144" w:rsidP="008B4144">
      <w:pPr>
        <w:bidi/>
        <w:rPr>
          <w:rFonts w:asciiTheme="majorBidi" w:hAnsiTheme="majorBidi" w:cstheme="majorBidi"/>
          <w:sz w:val="32"/>
          <w:szCs w:val="32"/>
          <w:rtl/>
        </w:rPr>
      </w:pPr>
    </w:p>
    <w:p w:rsidR="005F5508" w:rsidRPr="00BC27B3" w:rsidRDefault="008B4144" w:rsidP="008B4144">
      <w:pPr>
        <w:bidi/>
        <w:rPr>
          <w:rFonts w:asciiTheme="majorBidi" w:hAnsiTheme="majorBidi" w:cstheme="majorBidi"/>
          <w:sz w:val="32"/>
          <w:szCs w:val="32"/>
          <w:rtl/>
        </w:rPr>
      </w:pPr>
      <w:r w:rsidRPr="00BC27B3">
        <w:rPr>
          <w:rFonts w:asciiTheme="majorBidi" w:hAnsiTheme="majorBidi" w:cstheme="majorBidi"/>
          <w:sz w:val="32"/>
          <w:szCs w:val="32"/>
          <w:rtl/>
        </w:rPr>
        <w:t xml:space="preserve">المادة الثالثة عشرة: السنة المالية </w:t>
      </w:r>
    </w:p>
    <w:p w:rsidR="008B4144" w:rsidRPr="00BC27B3" w:rsidRDefault="008B4144" w:rsidP="005F5508">
      <w:pPr>
        <w:bidi/>
        <w:rPr>
          <w:rFonts w:asciiTheme="majorBidi" w:hAnsiTheme="majorBidi" w:cstheme="majorBidi"/>
          <w:sz w:val="32"/>
          <w:szCs w:val="32"/>
          <w:rtl/>
        </w:rPr>
      </w:pPr>
      <w:r w:rsidRPr="00BC27B3">
        <w:rPr>
          <w:rFonts w:asciiTheme="majorBidi" w:hAnsiTheme="majorBidi" w:cstheme="majorBidi"/>
          <w:sz w:val="32"/>
          <w:szCs w:val="32"/>
          <w:rtl/>
        </w:rPr>
        <w:t>السنة المالية للصندوق هي السنة المالية للدولة</w:t>
      </w:r>
      <w:r w:rsidR="005F5508" w:rsidRPr="00BC27B3">
        <w:rPr>
          <w:rFonts w:asciiTheme="majorBidi" w:hAnsiTheme="majorBidi" w:cstheme="majorBidi"/>
          <w:sz w:val="32"/>
          <w:szCs w:val="32"/>
          <w:rtl/>
        </w:rPr>
        <w:t>.</w:t>
      </w:r>
    </w:p>
    <w:p w:rsidR="008B4144" w:rsidRPr="00BC27B3" w:rsidRDefault="008B4144" w:rsidP="008B4144">
      <w:pPr>
        <w:bidi/>
        <w:rPr>
          <w:rFonts w:asciiTheme="majorBidi" w:hAnsiTheme="majorBidi" w:cstheme="majorBidi"/>
          <w:sz w:val="32"/>
          <w:szCs w:val="32"/>
          <w:rtl/>
        </w:rPr>
      </w:pPr>
    </w:p>
    <w:p w:rsidR="005F5508" w:rsidRPr="00BC27B3" w:rsidRDefault="008B4144" w:rsidP="005F5508">
      <w:pPr>
        <w:bidi/>
        <w:rPr>
          <w:rFonts w:asciiTheme="majorBidi" w:hAnsiTheme="majorBidi" w:cstheme="majorBidi"/>
          <w:sz w:val="32"/>
          <w:szCs w:val="32"/>
          <w:rtl/>
        </w:rPr>
      </w:pPr>
      <w:r w:rsidRPr="00BC27B3">
        <w:rPr>
          <w:rFonts w:asciiTheme="majorBidi" w:hAnsiTheme="majorBidi" w:cstheme="majorBidi"/>
          <w:sz w:val="32"/>
          <w:szCs w:val="32"/>
          <w:rtl/>
        </w:rPr>
        <w:t xml:space="preserve">المادة الرابعة عشرة: تقرير مجلس الإدارة </w:t>
      </w:r>
    </w:p>
    <w:p w:rsidR="00267C7B" w:rsidRPr="00BC27B3" w:rsidRDefault="005F5508" w:rsidP="005F5508">
      <w:pPr>
        <w:bidi/>
        <w:rPr>
          <w:rFonts w:asciiTheme="majorBidi" w:hAnsiTheme="majorBidi" w:cstheme="majorBidi"/>
          <w:sz w:val="32"/>
          <w:szCs w:val="32"/>
          <w:rtl/>
        </w:rPr>
      </w:pPr>
      <w:r w:rsidRPr="00BC27B3">
        <w:rPr>
          <w:rFonts w:asciiTheme="majorBidi" w:hAnsiTheme="majorBidi" w:cstheme="majorBidi"/>
          <w:sz w:val="32"/>
          <w:szCs w:val="32"/>
          <w:rtl/>
        </w:rPr>
        <w:t>يرفع مجلس إدارة الصندوق إلى مجلس الوزراء – خلال الأشهر الأربعة التالية لكل سنة مالية للصندوق – تقريراً عن أعماله وحساباته مصدقاً عليه من المراجعين القانونيين، للنظر فيه وإقراره أو إصدار التوجيه اللازم في شأنه</w:t>
      </w:r>
      <w:r w:rsidR="008B4144" w:rsidRPr="00BC27B3">
        <w:rPr>
          <w:rFonts w:asciiTheme="majorBidi" w:hAnsiTheme="majorBidi" w:cstheme="majorBidi"/>
          <w:sz w:val="32"/>
          <w:szCs w:val="32"/>
        </w:rPr>
        <w:t>.</w:t>
      </w:r>
    </w:p>
    <w:p w:rsidR="005F5508" w:rsidRPr="00BC27B3" w:rsidRDefault="005F5508" w:rsidP="005F5508">
      <w:pPr>
        <w:bidi/>
        <w:rPr>
          <w:rFonts w:asciiTheme="majorBidi" w:hAnsiTheme="majorBidi" w:cstheme="majorBidi"/>
          <w:sz w:val="32"/>
          <w:szCs w:val="32"/>
          <w:rtl/>
        </w:rPr>
      </w:pPr>
    </w:p>
    <w:p w:rsidR="005F5508" w:rsidRDefault="005F5508" w:rsidP="005F5508">
      <w:pPr>
        <w:bidi/>
        <w:rPr>
          <w:rFonts w:asciiTheme="majorBidi" w:hAnsiTheme="majorBidi" w:cstheme="majorBidi"/>
          <w:sz w:val="32"/>
          <w:szCs w:val="32"/>
        </w:rPr>
      </w:pPr>
    </w:p>
    <w:p w:rsidR="00BC27B3" w:rsidRPr="00BC27B3" w:rsidRDefault="00BC27B3" w:rsidP="00BC27B3">
      <w:pPr>
        <w:bidi/>
        <w:rPr>
          <w:rFonts w:asciiTheme="majorBidi" w:hAnsiTheme="majorBidi" w:cstheme="majorBidi"/>
          <w:sz w:val="32"/>
          <w:szCs w:val="32"/>
        </w:rPr>
      </w:pPr>
    </w:p>
    <w:sectPr w:rsidR="00BC27B3" w:rsidRPr="00BC2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23" w:rsidRDefault="002A2823" w:rsidP="00114815">
      <w:pPr>
        <w:spacing w:after="0" w:line="240" w:lineRule="auto"/>
      </w:pPr>
      <w:r>
        <w:separator/>
      </w:r>
    </w:p>
  </w:endnote>
  <w:endnote w:type="continuationSeparator" w:id="0">
    <w:p w:rsidR="002A2823" w:rsidRDefault="002A2823" w:rsidP="0011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23" w:rsidRDefault="002A2823" w:rsidP="00114815">
      <w:pPr>
        <w:spacing w:after="0" w:line="240" w:lineRule="auto"/>
      </w:pPr>
      <w:r>
        <w:separator/>
      </w:r>
    </w:p>
  </w:footnote>
  <w:footnote w:type="continuationSeparator" w:id="0">
    <w:p w:rsidR="002A2823" w:rsidRDefault="002A2823" w:rsidP="00114815">
      <w:pPr>
        <w:spacing w:after="0" w:line="240" w:lineRule="auto"/>
      </w:pPr>
      <w:r>
        <w:continuationSeparator/>
      </w:r>
    </w:p>
  </w:footnote>
  <w:footnote w:id="1">
    <w:p w:rsidR="00114815" w:rsidRDefault="00114815">
      <w:pPr>
        <w:pStyle w:val="FootnoteText"/>
        <w:rPr>
          <w:rtl/>
        </w:rPr>
      </w:pPr>
      <w:r>
        <w:rPr>
          <w:rStyle w:val="FootnoteReference"/>
        </w:rPr>
        <w:footnoteRef/>
      </w:r>
      <w:r>
        <w:t xml:space="preserve"> </w:t>
      </w:r>
      <w:r w:rsidRPr="00114815">
        <w:rPr>
          <w:rFonts w:asciiTheme="majorBidi" w:hAnsiTheme="majorBidi" w:cstheme="majorBidi" w:hint="cs"/>
          <w:sz w:val="24"/>
          <w:szCs w:val="24"/>
          <w:rtl/>
        </w:rPr>
        <w:t>تمت زيادة رأس المال عدة مرات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0E7D"/>
    <w:multiLevelType w:val="hybridMultilevel"/>
    <w:tmpl w:val="B10A4D80"/>
    <w:lvl w:ilvl="0" w:tplc="D018DC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D426E"/>
    <w:multiLevelType w:val="hybridMultilevel"/>
    <w:tmpl w:val="00A640C2"/>
    <w:lvl w:ilvl="0" w:tplc="1CE4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E3"/>
    <w:rsid w:val="00114815"/>
    <w:rsid w:val="001738E3"/>
    <w:rsid w:val="00246447"/>
    <w:rsid w:val="00267C7B"/>
    <w:rsid w:val="002A2823"/>
    <w:rsid w:val="0031160A"/>
    <w:rsid w:val="00407E8E"/>
    <w:rsid w:val="005D5600"/>
    <w:rsid w:val="005F5508"/>
    <w:rsid w:val="00622870"/>
    <w:rsid w:val="00697CE3"/>
    <w:rsid w:val="008B4144"/>
    <w:rsid w:val="00983F65"/>
    <w:rsid w:val="00BC27B3"/>
    <w:rsid w:val="00D96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44"/>
    <w:pPr>
      <w:ind w:left="720"/>
      <w:contextualSpacing/>
    </w:pPr>
  </w:style>
  <w:style w:type="paragraph" w:styleId="EndnoteText">
    <w:name w:val="endnote text"/>
    <w:basedOn w:val="Normal"/>
    <w:link w:val="EndnoteTextChar"/>
    <w:uiPriority w:val="99"/>
    <w:semiHidden/>
    <w:unhideWhenUsed/>
    <w:rsid w:val="001148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815"/>
    <w:rPr>
      <w:sz w:val="20"/>
      <w:szCs w:val="20"/>
    </w:rPr>
  </w:style>
  <w:style w:type="character" w:styleId="EndnoteReference">
    <w:name w:val="endnote reference"/>
    <w:basedOn w:val="DefaultParagraphFont"/>
    <w:uiPriority w:val="99"/>
    <w:semiHidden/>
    <w:unhideWhenUsed/>
    <w:rsid w:val="00114815"/>
    <w:rPr>
      <w:vertAlign w:val="superscript"/>
    </w:rPr>
  </w:style>
  <w:style w:type="paragraph" w:styleId="FootnoteText">
    <w:name w:val="footnote text"/>
    <w:basedOn w:val="Normal"/>
    <w:link w:val="FootnoteTextChar"/>
    <w:uiPriority w:val="99"/>
    <w:semiHidden/>
    <w:unhideWhenUsed/>
    <w:rsid w:val="00114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815"/>
    <w:rPr>
      <w:sz w:val="20"/>
      <w:szCs w:val="20"/>
    </w:rPr>
  </w:style>
  <w:style w:type="character" w:styleId="FootnoteReference">
    <w:name w:val="footnote reference"/>
    <w:basedOn w:val="DefaultParagraphFont"/>
    <w:uiPriority w:val="99"/>
    <w:semiHidden/>
    <w:unhideWhenUsed/>
    <w:rsid w:val="001148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44"/>
    <w:pPr>
      <w:ind w:left="720"/>
      <w:contextualSpacing/>
    </w:pPr>
  </w:style>
  <w:style w:type="paragraph" w:styleId="EndnoteText">
    <w:name w:val="endnote text"/>
    <w:basedOn w:val="Normal"/>
    <w:link w:val="EndnoteTextChar"/>
    <w:uiPriority w:val="99"/>
    <w:semiHidden/>
    <w:unhideWhenUsed/>
    <w:rsid w:val="001148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815"/>
    <w:rPr>
      <w:sz w:val="20"/>
      <w:szCs w:val="20"/>
    </w:rPr>
  </w:style>
  <w:style w:type="character" w:styleId="EndnoteReference">
    <w:name w:val="endnote reference"/>
    <w:basedOn w:val="DefaultParagraphFont"/>
    <w:uiPriority w:val="99"/>
    <w:semiHidden/>
    <w:unhideWhenUsed/>
    <w:rsid w:val="00114815"/>
    <w:rPr>
      <w:vertAlign w:val="superscript"/>
    </w:rPr>
  </w:style>
  <w:style w:type="paragraph" w:styleId="FootnoteText">
    <w:name w:val="footnote text"/>
    <w:basedOn w:val="Normal"/>
    <w:link w:val="FootnoteTextChar"/>
    <w:uiPriority w:val="99"/>
    <w:semiHidden/>
    <w:unhideWhenUsed/>
    <w:rsid w:val="00114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815"/>
    <w:rPr>
      <w:sz w:val="20"/>
      <w:szCs w:val="20"/>
    </w:rPr>
  </w:style>
  <w:style w:type="character" w:styleId="FootnoteReference">
    <w:name w:val="footnote reference"/>
    <w:basedOn w:val="DefaultParagraphFont"/>
    <w:uiPriority w:val="99"/>
    <w:semiHidden/>
    <w:unhideWhenUsed/>
    <w:rsid w:val="001148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75DC-7D8D-4775-A6F5-5F4D97B1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Saudi Industrial Development Fund</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Al-Abaad</dc:creator>
  <cp:keywords/>
  <dc:description/>
  <cp:lastModifiedBy>Al-Abaad</cp:lastModifiedBy>
  <cp:revision>6</cp:revision>
  <dcterms:created xsi:type="dcterms:W3CDTF">2016-12-25T06:40:00Z</dcterms:created>
  <dcterms:modified xsi:type="dcterms:W3CDTF">2016-12-26T07:41:00Z</dcterms:modified>
</cp:coreProperties>
</file>